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667B0257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369D5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440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56CD9" w14:textId="77777777" w:rsidR="00D70915" w:rsidRDefault="00D70915" w:rsidP="00DA5839">
      <w:r>
        <w:separator/>
      </w:r>
    </w:p>
  </w:endnote>
  <w:endnote w:type="continuationSeparator" w:id="0">
    <w:p w14:paraId="2485A11C" w14:textId="77777777" w:rsidR="00D70915" w:rsidRDefault="00D7091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18D8A" w14:textId="77777777" w:rsidR="00D70915" w:rsidRDefault="00D70915" w:rsidP="00DA5839">
      <w:r>
        <w:separator/>
      </w:r>
    </w:p>
  </w:footnote>
  <w:footnote w:type="continuationSeparator" w:id="0">
    <w:p w14:paraId="512DC826" w14:textId="77777777" w:rsidR="00D70915" w:rsidRDefault="00D7091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645BF0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69D5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5C7B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86D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590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6E3A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D5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0F0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915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C0DA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661C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F9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2023-04-05T09:22:00Z</dcterms:modified>
</cp:coreProperties>
</file>